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50"/>
        <w:gridCol w:w="7905"/>
      </w:tblGrid>
      <w:tr w:rsidR="52FA6A69" w14:paraId="4CB6BCD5" w14:textId="77777777" w:rsidTr="52FA6A69">
        <w:trPr>
          <w:trHeight w:val="300"/>
        </w:trPr>
        <w:tc>
          <w:tcPr>
            <w:tcW w:w="2550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7DEB51FD" w14:textId="10318103" w:rsidR="6697A430" w:rsidRDefault="00FC0AB6" w:rsidP="52FA6A69">
            <w:pPr>
              <w:pStyle w:val="Corpsdetexte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2F1BD7" wp14:editId="684BF9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861351" cy="676275"/>
                  <wp:effectExtent l="0" t="0" r="0" b="0"/>
                  <wp:wrapNone/>
                  <wp:docPr id="14513225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2256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51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5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3CC77F44" w14:textId="3DF39996" w:rsidR="6697A430" w:rsidRDefault="00391291" w:rsidP="00FC0AB6">
            <w:pPr>
              <w:pStyle w:val="Titre"/>
              <w:ind w:left="313"/>
            </w:pPr>
            <w:r>
              <w:t>Charte d’engagement</w:t>
            </w:r>
          </w:p>
          <w:p w14:paraId="5A84345F" w14:textId="726C5B86" w:rsidR="6697A430" w:rsidRDefault="00391291" w:rsidP="00FC0AB6">
            <w:pPr>
              <w:pStyle w:val="Sous-titre"/>
              <w:ind w:left="313"/>
            </w:pPr>
            <w:r>
              <w:t xml:space="preserve">Préparation à la formation </w:t>
            </w:r>
            <w:r w:rsidR="00AF5365">
              <w:t>de formateur d’arbitres</w:t>
            </w:r>
          </w:p>
        </w:tc>
      </w:tr>
    </w:tbl>
    <w:p w14:paraId="11242182" w14:textId="7F80C30F" w:rsidR="00EC77D4" w:rsidRDefault="00EC77D4" w:rsidP="7369A77B">
      <w:pPr>
        <w:pStyle w:val="Corpsdetexte"/>
        <w:jc w:val="center"/>
      </w:pPr>
    </w:p>
    <w:p w14:paraId="2817D6FC" w14:textId="0D5B4480" w:rsidR="00391291" w:rsidRDefault="00391291" w:rsidP="00391291">
      <w:pPr>
        <w:pStyle w:val="Corpsdetexte"/>
      </w:pPr>
      <w:r>
        <w:t>La Ligue des Pays de la Loire de Tennis de Table a pour but de soutenir les candidats souhaitant s’engager sur l</w:t>
      </w:r>
      <w:r w:rsidR="00DD598C">
        <w:t>es</w:t>
      </w:r>
      <w:r>
        <w:t xml:space="preserve"> formation</w:t>
      </w:r>
      <w:r w:rsidR="00DD598C">
        <w:t>s de formateur à l’arbitrage (FO AR/JA1, FO AR/JA2, FO AN)</w:t>
      </w:r>
      <w:r>
        <w:t xml:space="preserve"> de la FFTT. Cette charte présente les conditions d’accès au soutien de la Ligue.</w:t>
      </w:r>
    </w:p>
    <w:p w14:paraId="359F4B34" w14:textId="15FA19D2" w:rsidR="00391291" w:rsidRDefault="00391291" w:rsidP="00391291">
      <w:pPr>
        <w:pStyle w:val="Titre1"/>
      </w:pPr>
      <w:r>
        <w:t>Engagements du candidat</w:t>
      </w:r>
    </w:p>
    <w:p w14:paraId="3B14D292" w14:textId="1A407BD2" w:rsidR="00391291" w:rsidRDefault="00391291" w:rsidP="00391291">
      <w:pPr>
        <w:pStyle w:val="Corpsdetexte"/>
      </w:pPr>
      <w:r>
        <w:t xml:space="preserve">L’acceptation de la candidature à la formation </w:t>
      </w:r>
      <w:r w:rsidR="00DD598C">
        <w:t>de formateur à l’arbitrage</w:t>
      </w:r>
      <w:r>
        <w:t xml:space="preserve"> est soumise aux conditions suivantes :</w:t>
      </w:r>
    </w:p>
    <w:p w14:paraId="0FE4B0BD" w14:textId="1404A779" w:rsidR="00391291" w:rsidRDefault="00DD598C" w:rsidP="00391291">
      <w:pPr>
        <w:pStyle w:val="Corpsdetexte"/>
        <w:numPr>
          <w:ilvl w:val="0"/>
          <w:numId w:val="5"/>
        </w:numPr>
      </w:pPr>
      <w:r>
        <w:t>Exercer la fonction correspondante à la formation depuis au moins 2 saisons.</w:t>
      </w:r>
    </w:p>
    <w:p w14:paraId="2B098A0B" w14:textId="481C4135" w:rsidR="00391291" w:rsidRDefault="00391291" w:rsidP="00391291">
      <w:pPr>
        <w:pStyle w:val="Corpsdetexte"/>
        <w:numPr>
          <w:ilvl w:val="0"/>
          <w:numId w:val="5"/>
        </w:numPr>
      </w:pPr>
      <w:r>
        <w:t>Candidater auprès de la Ligue avant le 31 octobre de la saison en cours.</w:t>
      </w:r>
    </w:p>
    <w:p w14:paraId="6790438C" w14:textId="2F63420A" w:rsidR="00391291" w:rsidRDefault="00391291" w:rsidP="00391291">
      <w:pPr>
        <w:pStyle w:val="Corpsdetexte"/>
        <w:numPr>
          <w:ilvl w:val="0"/>
          <w:numId w:val="5"/>
        </w:numPr>
      </w:pPr>
      <w:r>
        <w:t>Respecter les conditions de préparation proposées par la Ligue, sur 2 saisons, en suivant l’intégralité du programme présenté ci-dessous.</w:t>
      </w:r>
    </w:p>
    <w:p w14:paraId="247C5223" w14:textId="7271EA48" w:rsidR="00391291" w:rsidRDefault="00391291" w:rsidP="00391291">
      <w:pPr>
        <w:pStyle w:val="Titre1"/>
      </w:pPr>
      <w:r>
        <w:t>Moyens logistiques</w:t>
      </w:r>
    </w:p>
    <w:p w14:paraId="5067E15B" w14:textId="77777777" w:rsidR="00391291" w:rsidRDefault="00391291" w:rsidP="00391291">
      <w:pPr>
        <w:pStyle w:val="Corpsdetexte"/>
      </w:pPr>
      <w:r>
        <w:t>Dans la mesure du possible la Ligue mettra en œuvre les moyens logistiques pour aider les candidats (repas/hébergement).</w:t>
      </w:r>
    </w:p>
    <w:p w14:paraId="1333A61E" w14:textId="705BBD53" w:rsidR="00391291" w:rsidRDefault="00391291" w:rsidP="00391291">
      <w:pPr>
        <w:pStyle w:val="Corpsdetexte"/>
      </w:pPr>
      <w:r>
        <w:t>Dans le cadre de leur préparation, les frais de déplacements resteront à la charge des candidats, la Ligue assurant les frais de formation et autres logistiques dans le budget de la Commission Régional Emploi-Formation (CREF).</w:t>
      </w:r>
    </w:p>
    <w:p w14:paraId="3F789521" w14:textId="6283D3DA" w:rsidR="00391291" w:rsidRDefault="00391291" w:rsidP="00391291">
      <w:pPr>
        <w:pStyle w:val="Titre1"/>
      </w:pPr>
      <w:r>
        <w:t>Déroulé de la préparation à l’AN</w:t>
      </w:r>
    </w:p>
    <w:p w14:paraId="0FFDF0BA" w14:textId="36D69D17" w:rsidR="00391291" w:rsidRDefault="00391291" w:rsidP="00391291">
      <w:pPr>
        <w:pStyle w:val="Corpsdetexte"/>
      </w:pPr>
      <w:r>
        <w:t>La Ligue organisera, au minimum, les sessions de formation suivantes :</w:t>
      </w:r>
    </w:p>
    <w:p w14:paraId="1C08CBF7" w14:textId="21023E19" w:rsidR="00391291" w:rsidRDefault="00592313" w:rsidP="00391291">
      <w:pPr>
        <w:pStyle w:val="Corpsdetexte"/>
        <w:numPr>
          <w:ilvl w:val="0"/>
          <w:numId w:val="6"/>
        </w:numPr>
      </w:pPr>
      <w:r w:rsidRPr="00592313">
        <w:t>1 formation théorique (en présentiel ou en visio</w:t>
      </w:r>
      <w:r>
        <w:t>conférence</w:t>
      </w:r>
      <w:r w:rsidRPr="00592313">
        <w:t xml:space="preserve"> selon le type de formation)</w:t>
      </w:r>
      <w:r>
        <w:t>.</w:t>
      </w:r>
    </w:p>
    <w:p w14:paraId="188585A5" w14:textId="625CF8A4" w:rsidR="00391291" w:rsidRDefault="00592313" w:rsidP="00391291">
      <w:pPr>
        <w:pStyle w:val="Corpsdetexte"/>
        <w:numPr>
          <w:ilvl w:val="0"/>
          <w:numId w:val="6"/>
        </w:numPr>
      </w:pPr>
      <w:r>
        <w:t>1 examen pratique.</w:t>
      </w:r>
    </w:p>
    <w:p w14:paraId="412C08B2" w14:textId="2F4581F0" w:rsidR="00391291" w:rsidRDefault="00391291" w:rsidP="00391291">
      <w:pPr>
        <w:pStyle w:val="Titre1"/>
      </w:pPr>
      <w:r>
        <w:t>Modalités financières</w:t>
      </w:r>
    </w:p>
    <w:p w14:paraId="1617B2F7" w14:textId="405C79E6" w:rsidR="00391291" w:rsidRPr="00391291" w:rsidRDefault="00391291" w:rsidP="00391291">
      <w:pPr>
        <w:pStyle w:val="Corpsdetexte"/>
        <w:rPr>
          <w:i/>
          <w:iCs/>
        </w:rPr>
      </w:pPr>
      <w:r w:rsidRPr="00391291">
        <w:rPr>
          <w:i/>
          <w:iCs/>
        </w:rPr>
        <w:t>Comme le veut la Fédération, la CREF émettra un avis sur la pertinence de la candidature. En cas d’avis défavorable</w:t>
      </w:r>
      <w:r>
        <w:rPr>
          <w:i/>
          <w:iCs/>
        </w:rPr>
        <w:t>,</w:t>
      </w:r>
      <w:r w:rsidRPr="00391291">
        <w:rPr>
          <w:i/>
          <w:iCs/>
        </w:rPr>
        <w:t xml:space="preserve"> le candidat ne pourra pas prétendre à l’indemnisation de la Ligue.</w:t>
      </w:r>
    </w:p>
    <w:p w14:paraId="26397C68" w14:textId="5918C39D" w:rsidR="00391291" w:rsidRDefault="00391291" w:rsidP="00391291">
      <w:pPr>
        <w:pStyle w:val="Corpsdetexte"/>
        <w:numPr>
          <w:ilvl w:val="0"/>
          <w:numId w:val="7"/>
        </w:numPr>
      </w:pPr>
      <w:r>
        <w:t>Le candidat réglera l’intégralité de ses frais d’inscription auprès de la FFTT.</w:t>
      </w:r>
    </w:p>
    <w:p w14:paraId="066670FC" w14:textId="67C35C24" w:rsidR="00391291" w:rsidRDefault="00592313" w:rsidP="00391291">
      <w:pPr>
        <w:pStyle w:val="Corpsdetexte"/>
        <w:numPr>
          <w:ilvl w:val="0"/>
          <w:numId w:val="7"/>
        </w:numPr>
      </w:pPr>
      <w:r>
        <w:t xml:space="preserve">Après validation du grade, le candidat </w:t>
      </w:r>
      <w:r w:rsidR="00391291">
        <w:t>s’engage à au moins 2 prestations</w:t>
      </w:r>
      <w:r>
        <w:t xml:space="preserve"> par </w:t>
      </w:r>
      <w:r w:rsidR="00391291">
        <w:t>saison au sein de la Ligue.</w:t>
      </w:r>
    </w:p>
    <w:p w14:paraId="230926CD" w14:textId="2F78D848" w:rsidR="00391291" w:rsidRDefault="00391291" w:rsidP="00391291">
      <w:pPr>
        <w:pStyle w:val="Corpsdetexte"/>
        <w:numPr>
          <w:ilvl w:val="0"/>
          <w:numId w:val="7"/>
        </w:numPr>
      </w:pPr>
      <w:r>
        <w:t>La Ligue indemnisera le candidat pour la moitié des frais d’inscription. Cette indemnité ne pourra être versée qu’après une saison de pratique.</w:t>
      </w:r>
    </w:p>
    <w:p w14:paraId="0A7A60EB" w14:textId="1D6AE242" w:rsidR="00391291" w:rsidRDefault="00391291" w:rsidP="00391291">
      <w:pPr>
        <w:pStyle w:val="Corpsdetexte"/>
      </w:pPr>
      <w:r>
        <w:t xml:space="preserve">Dans le cas où le nombre de candidats serait supérieur aux quotas fixés par la Ligue à chaque début d’Olympiade, le Conseil de Ligue seul sera </w:t>
      </w:r>
      <w:r w:rsidR="00277D73">
        <w:t>décisionnaire</w:t>
      </w:r>
      <w:r>
        <w:t xml:space="preserve"> pour accepter une nouvelle candidature.</w:t>
      </w:r>
    </w:p>
    <w:p w14:paraId="495E0E7D" w14:textId="77777777" w:rsidR="00391291" w:rsidRDefault="00391291" w:rsidP="00391291">
      <w:pPr>
        <w:pStyle w:val="Corpsdetexte"/>
      </w:pPr>
    </w:p>
    <w:p w14:paraId="71BEE962" w14:textId="2E9569C7" w:rsidR="00391291" w:rsidRDefault="00391291" w:rsidP="00C51777">
      <w:pPr>
        <w:pStyle w:val="Corpsdetexte"/>
        <w:tabs>
          <w:tab w:val="left" w:pos="7230"/>
        </w:tabs>
        <w:spacing w:after="0"/>
        <w:ind w:left="1985"/>
      </w:pPr>
      <w:r>
        <w:t>Pour la CREF</w:t>
      </w:r>
      <w:r>
        <w:tab/>
        <w:t>Le candidat</w:t>
      </w:r>
    </w:p>
    <w:p w14:paraId="385EB4D7" w14:textId="4BE24C3E" w:rsidR="00391291" w:rsidRDefault="00391291" w:rsidP="00391291">
      <w:pPr>
        <w:pStyle w:val="Corpsdetexte"/>
        <w:ind w:left="993"/>
      </w:pPr>
      <w:r>
        <w:t>Le responsable formation arbitrage</w:t>
      </w:r>
      <w:r>
        <w:tab/>
      </w:r>
      <w:r>
        <w:tab/>
      </w:r>
      <w:r>
        <w:tab/>
      </w:r>
    </w:p>
    <w:p w14:paraId="69E008CE" w14:textId="04AC50CB" w:rsidR="00D3286A" w:rsidRPr="00EC77D4" w:rsidRDefault="00D3286A" w:rsidP="00EC77D4">
      <w:pPr>
        <w:pStyle w:val="Corpsdetexte"/>
      </w:pPr>
    </w:p>
    <w:sectPr w:rsidR="00D3286A" w:rsidRPr="00EC77D4" w:rsidSect="00504122">
      <w:headerReference w:type="default" r:id="rId11"/>
      <w:pgSz w:w="11906" w:h="16838"/>
      <w:pgMar w:top="720" w:right="720" w:bottom="720" w:left="72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51B0" w14:textId="77777777" w:rsidR="004C49BE" w:rsidRDefault="004C49BE" w:rsidP="00F52F82">
      <w:pPr>
        <w:spacing w:after="0" w:line="240" w:lineRule="auto"/>
      </w:pPr>
      <w:r>
        <w:separator/>
      </w:r>
    </w:p>
  </w:endnote>
  <w:endnote w:type="continuationSeparator" w:id="0">
    <w:p w14:paraId="03F2B09E" w14:textId="77777777" w:rsidR="004C49BE" w:rsidRDefault="004C49BE" w:rsidP="00F52F82">
      <w:pPr>
        <w:spacing w:after="0" w:line="240" w:lineRule="auto"/>
      </w:pPr>
      <w:r>
        <w:continuationSeparator/>
      </w:r>
    </w:p>
  </w:endnote>
  <w:endnote w:type="continuationNotice" w:id="1">
    <w:p w14:paraId="75B3B56E" w14:textId="77777777" w:rsidR="004C49BE" w:rsidRDefault="004C49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64D8" w14:textId="77777777" w:rsidR="004C49BE" w:rsidRDefault="004C49BE" w:rsidP="00F52F82">
      <w:pPr>
        <w:spacing w:after="0" w:line="240" w:lineRule="auto"/>
      </w:pPr>
      <w:r>
        <w:separator/>
      </w:r>
    </w:p>
  </w:footnote>
  <w:footnote w:type="continuationSeparator" w:id="0">
    <w:p w14:paraId="79BC1679" w14:textId="77777777" w:rsidR="004C49BE" w:rsidRDefault="004C49BE" w:rsidP="00F52F82">
      <w:pPr>
        <w:spacing w:after="0" w:line="240" w:lineRule="auto"/>
      </w:pPr>
      <w:r>
        <w:continuationSeparator/>
      </w:r>
    </w:p>
  </w:footnote>
  <w:footnote w:type="continuationNotice" w:id="1">
    <w:p w14:paraId="6F879492" w14:textId="77777777" w:rsidR="004C49BE" w:rsidRDefault="004C49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DB81CD8" w14:paraId="28DF1308" w14:textId="77777777" w:rsidTr="3DB81CD8">
      <w:trPr>
        <w:trHeight w:val="300"/>
      </w:trPr>
      <w:tc>
        <w:tcPr>
          <w:tcW w:w="3485" w:type="dxa"/>
        </w:tcPr>
        <w:p w14:paraId="1ACC1576" w14:textId="0D15E57E" w:rsidR="3DB81CD8" w:rsidRDefault="3DB81CD8" w:rsidP="3DB81CD8">
          <w:pPr>
            <w:pStyle w:val="En-tte"/>
            <w:ind w:left="-115"/>
            <w:jc w:val="left"/>
          </w:pPr>
        </w:p>
      </w:tc>
      <w:tc>
        <w:tcPr>
          <w:tcW w:w="3485" w:type="dxa"/>
        </w:tcPr>
        <w:p w14:paraId="4BC9833B" w14:textId="21089963" w:rsidR="3DB81CD8" w:rsidRDefault="3DB81CD8" w:rsidP="3DB81CD8">
          <w:pPr>
            <w:pStyle w:val="En-tte"/>
            <w:jc w:val="center"/>
          </w:pPr>
        </w:p>
      </w:tc>
      <w:tc>
        <w:tcPr>
          <w:tcW w:w="3485" w:type="dxa"/>
        </w:tcPr>
        <w:p w14:paraId="5555286D" w14:textId="7AA9C2DB" w:rsidR="3DB81CD8" w:rsidRDefault="3DB81CD8" w:rsidP="3DB81CD8">
          <w:pPr>
            <w:pStyle w:val="En-tte"/>
            <w:ind w:right="-115"/>
            <w:jc w:val="right"/>
          </w:pPr>
        </w:p>
      </w:tc>
    </w:tr>
  </w:tbl>
  <w:p w14:paraId="1BEB4927" w14:textId="6B32A80C" w:rsidR="009A3831" w:rsidRDefault="009A3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524"/>
    <w:multiLevelType w:val="multilevel"/>
    <w:tmpl w:val="41FA8FB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  <w:rPr>
        <w:rFonts w:ascii="Roboto" w:hAnsi="Roboto"/>
        <w:sz w:val="24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1846EA"/>
    <w:multiLevelType w:val="hybridMultilevel"/>
    <w:tmpl w:val="936AE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A6951"/>
    <w:multiLevelType w:val="hybridMultilevel"/>
    <w:tmpl w:val="FCCCD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688B"/>
    <w:multiLevelType w:val="hybridMultilevel"/>
    <w:tmpl w:val="3EDE4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570B1"/>
    <w:multiLevelType w:val="hybridMultilevel"/>
    <w:tmpl w:val="8CC4AD9C"/>
    <w:lvl w:ilvl="0" w:tplc="5A5CF192">
      <w:start w:val="49"/>
      <w:numFmt w:val="bullet"/>
      <w:pStyle w:val="Dcision"/>
      <w:lvlText w:val=""/>
      <w:lvlJc w:val="left"/>
      <w:pPr>
        <w:ind w:left="720" w:hanging="360"/>
      </w:pPr>
      <w:rPr>
        <w:rFonts w:ascii="Wingdings" w:eastAsia="NSimSun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84834">
    <w:abstractNumId w:val="0"/>
  </w:num>
  <w:num w:numId="2" w16cid:durableId="493497140">
    <w:abstractNumId w:val="4"/>
  </w:num>
  <w:num w:numId="3" w16cid:durableId="1776367074">
    <w:abstractNumId w:val="4"/>
    <w:lvlOverride w:ilvl="0">
      <w:startOverride w:val="49"/>
    </w:lvlOverride>
  </w:num>
  <w:num w:numId="4" w16cid:durableId="1549338904">
    <w:abstractNumId w:val="4"/>
    <w:lvlOverride w:ilvl="0">
      <w:startOverride w:val="49"/>
    </w:lvlOverride>
  </w:num>
  <w:num w:numId="5" w16cid:durableId="613249419">
    <w:abstractNumId w:val="2"/>
  </w:num>
  <w:num w:numId="6" w16cid:durableId="318190815">
    <w:abstractNumId w:val="1"/>
  </w:num>
  <w:num w:numId="7" w16cid:durableId="204848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D3"/>
    <w:rsid w:val="000050FC"/>
    <w:rsid w:val="0001661B"/>
    <w:rsid w:val="00016C7C"/>
    <w:rsid w:val="00020E47"/>
    <w:rsid w:val="00033109"/>
    <w:rsid w:val="00034C76"/>
    <w:rsid w:val="00034CFE"/>
    <w:rsid w:val="00035A74"/>
    <w:rsid w:val="00044C4E"/>
    <w:rsid w:val="0005415C"/>
    <w:rsid w:val="000556B2"/>
    <w:rsid w:val="0007593E"/>
    <w:rsid w:val="000861EF"/>
    <w:rsid w:val="000952E8"/>
    <w:rsid w:val="000B5EC3"/>
    <w:rsid w:val="000C2F3F"/>
    <w:rsid w:val="000D3624"/>
    <w:rsid w:val="000E361E"/>
    <w:rsid w:val="000E7699"/>
    <w:rsid w:val="001168F3"/>
    <w:rsid w:val="001519AA"/>
    <w:rsid w:val="00167AF4"/>
    <w:rsid w:val="00176A5E"/>
    <w:rsid w:val="00181691"/>
    <w:rsid w:val="00186C2E"/>
    <w:rsid w:val="001A1BB8"/>
    <w:rsid w:val="001B010C"/>
    <w:rsid w:val="001B4AFC"/>
    <w:rsid w:val="001C1DF7"/>
    <w:rsid w:val="001C5B46"/>
    <w:rsid w:val="001D5B6E"/>
    <w:rsid w:val="001E7194"/>
    <w:rsid w:val="00205D23"/>
    <w:rsid w:val="00220459"/>
    <w:rsid w:val="00231307"/>
    <w:rsid w:val="00255041"/>
    <w:rsid w:val="00277D73"/>
    <w:rsid w:val="00286A01"/>
    <w:rsid w:val="0029002B"/>
    <w:rsid w:val="002A3CA5"/>
    <w:rsid w:val="002C6BD3"/>
    <w:rsid w:val="002E027C"/>
    <w:rsid w:val="0030079E"/>
    <w:rsid w:val="00311C0B"/>
    <w:rsid w:val="00356028"/>
    <w:rsid w:val="00366F63"/>
    <w:rsid w:val="00380851"/>
    <w:rsid w:val="00391291"/>
    <w:rsid w:val="003B41E5"/>
    <w:rsid w:val="003D7345"/>
    <w:rsid w:val="003E2A3F"/>
    <w:rsid w:val="003E4648"/>
    <w:rsid w:val="00402454"/>
    <w:rsid w:val="004131D7"/>
    <w:rsid w:val="00422A28"/>
    <w:rsid w:val="00446258"/>
    <w:rsid w:val="004501BF"/>
    <w:rsid w:val="00456203"/>
    <w:rsid w:val="0045779E"/>
    <w:rsid w:val="0046577D"/>
    <w:rsid w:val="00471F81"/>
    <w:rsid w:val="00475BBE"/>
    <w:rsid w:val="004A6ADB"/>
    <w:rsid w:val="004C49BE"/>
    <w:rsid w:val="004D5AD5"/>
    <w:rsid w:val="00504122"/>
    <w:rsid w:val="00510C75"/>
    <w:rsid w:val="00515015"/>
    <w:rsid w:val="005179D2"/>
    <w:rsid w:val="005216FA"/>
    <w:rsid w:val="00551997"/>
    <w:rsid w:val="0055720C"/>
    <w:rsid w:val="005572DC"/>
    <w:rsid w:val="00592313"/>
    <w:rsid w:val="005977FF"/>
    <w:rsid w:val="005C1BB2"/>
    <w:rsid w:val="005C7997"/>
    <w:rsid w:val="00607A51"/>
    <w:rsid w:val="00632FCC"/>
    <w:rsid w:val="0066497B"/>
    <w:rsid w:val="00666E3A"/>
    <w:rsid w:val="00677DD7"/>
    <w:rsid w:val="00687FF0"/>
    <w:rsid w:val="00692017"/>
    <w:rsid w:val="00694844"/>
    <w:rsid w:val="006A2157"/>
    <w:rsid w:val="006B5DF1"/>
    <w:rsid w:val="006C1F1A"/>
    <w:rsid w:val="006C5C26"/>
    <w:rsid w:val="006D2438"/>
    <w:rsid w:val="006E3EF0"/>
    <w:rsid w:val="006E6A6E"/>
    <w:rsid w:val="006E7F23"/>
    <w:rsid w:val="00724A3C"/>
    <w:rsid w:val="00727EE2"/>
    <w:rsid w:val="00747612"/>
    <w:rsid w:val="007648D1"/>
    <w:rsid w:val="00793363"/>
    <w:rsid w:val="007A08F7"/>
    <w:rsid w:val="007A0F5F"/>
    <w:rsid w:val="007A46B3"/>
    <w:rsid w:val="007B417F"/>
    <w:rsid w:val="00814A09"/>
    <w:rsid w:val="0084784E"/>
    <w:rsid w:val="00874568"/>
    <w:rsid w:val="00874A21"/>
    <w:rsid w:val="0088094E"/>
    <w:rsid w:val="008916E3"/>
    <w:rsid w:val="00894037"/>
    <w:rsid w:val="0089499E"/>
    <w:rsid w:val="008B1520"/>
    <w:rsid w:val="008D0C21"/>
    <w:rsid w:val="008F4688"/>
    <w:rsid w:val="00922EC4"/>
    <w:rsid w:val="00954A0D"/>
    <w:rsid w:val="009565BF"/>
    <w:rsid w:val="00965FF0"/>
    <w:rsid w:val="00990155"/>
    <w:rsid w:val="00995C1D"/>
    <w:rsid w:val="00996E4A"/>
    <w:rsid w:val="009A3831"/>
    <w:rsid w:val="009B077E"/>
    <w:rsid w:val="009B30AD"/>
    <w:rsid w:val="009D42DD"/>
    <w:rsid w:val="009D72BD"/>
    <w:rsid w:val="009E32A7"/>
    <w:rsid w:val="009E4EBE"/>
    <w:rsid w:val="009F332A"/>
    <w:rsid w:val="00A07900"/>
    <w:rsid w:val="00A4072C"/>
    <w:rsid w:val="00A80CBE"/>
    <w:rsid w:val="00A9012C"/>
    <w:rsid w:val="00A90D59"/>
    <w:rsid w:val="00A92401"/>
    <w:rsid w:val="00AA61AE"/>
    <w:rsid w:val="00AB45FE"/>
    <w:rsid w:val="00AD1462"/>
    <w:rsid w:val="00AD35C0"/>
    <w:rsid w:val="00AD493E"/>
    <w:rsid w:val="00AF5365"/>
    <w:rsid w:val="00AF5BC6"/>
    <w:rsid w:val="00B30BD1"/>
    <w:rsid w:val="00B35A35"/>
    <w:rsid w:val="00B43F96"/>
    <w:rsid w:val="00B534D0"/>
    <w:rsid w:val="00B568B2"/>
    <w:rsid w:val="00B83BEE"/>
    <w:rsid w:val="00B87885"/>
    <w:rsid w:val="00B96256"/>
    <w:rsid w:val="00BA0B9A"/>
    <w:rsid w:val="00BC3013"/>
    <w:rsid w:val="00BF2360"/>
    <w:rsid w:val="00BF2A4F"/>
    <w:rsid w:val="00C00077"/>
    <w:rsid w:val="00C302F0"/>
    <w:rsid w:val="00C331D8"/>
    <w:rsid w:val="00C46B3D"/>
    <w:rsid w:val="00C46BAC"/>
    <w:rsid w:val="00C51777"/>
    <w:rsid w:val="00C67111"/>
    <w:rsid w:val="00C80820"/>
    <w:rsid w:val="00C900AC"/>
    <w:rsid w:val="00CB6E66"/>
    <w:rsid w:val="00CF163B"/>
    <w:rsid w:val="00CF7D1B"/>
    <w:rsid w:val="00D3286A"/>
    <w:rsid w:val="00D46410"/>
    <w:rsid w:val="00D505B7"/>
    <w:rsid w:val="00D566E2"/>
    <w:rsid w:val="00D72FA1"/>
    <w:rsid w:val="00D9504C"/>
    <w:rsid w:val="00DA2C8E"/>
    <w:rsid w:val="00DA6AE8"/>
    <w:rsid w:val="00DA6CBC"/>
    <w:rsid w:val="00DA7D4A"/>
    <w:rsid w:val="00DB0CF8"/>
    <w:rsid w:val="00DB3D74"/>
    <w:rsid w:val="00DD598C"/>
    <w:rsid w:val="00E3288D"/>
    <w:rsid w:val="00E61AA5"/>
    <w:rsid w:val="00E65131"/>
    <w:rsid w:val="00E70F05"/>
    <w:rsid w:val="00E77240"/>
    <w:rsid w:val="00E8214D"/>
    <w:rsid w:val="00E904C5"/>
    <w:rsid w:val="00E9677B"/>
    <w:rsid w:val="00EC1DB0"/>
    <w:rsid w:val="00EC59DC"/>
    <w:rsid w:val="00EC77D4"/>
    <w:rsid w:val="00EC7F37"/>
    <w:rsid w:val="00EE0AA9"/>
    <w:rsid w:val="00EF4322"/>
    <w:rsid w:val="00EF7BA1"/>
    <w:rsid w:val="00F52F82"/>
    <w:rsid w:val="00F55FA9"/>
    <w:rsid w:val="00F56D10"/>
    <w:rsid w:val="00F6042F"/>
    <w:rsid w:val="00F613BD"/>
    <w:rsid w:val="00F6192A"/>
    <w:rsid w:val="00F6210B"/>
    <w:rsid w:val="00F86122"/>
    <w:rsid w:val="00F963FF"/>
    <w:rsid w:val="00FA720F"/>
    <w:rsid w:val="00FB42B8"/>
    <w:rsid w:val="00FC0AB6"/>
    <w:rsid w:val="00FC1861"/>
    <w:rsid w:val="00FC5135"/>
    <w:rsid w:val="00FD5E64"/>
    <w:rsid w:val="00FE3429"/>
    <w:rsid w:val="17602FE3"/>
    <w:rsid w:val="1F5DEC5E"/>
    <w:rsid w:val="287FF885"/>
    <w:rsid w:val="30A87D24"/>
    <w:rsid w:val="38FA5E04"/>
    <w:rsid w:val="3DB81CD8"/>
    <w:rsid w:val="41E3A651"/>
    <w:rsid w:val="4244AEA5"/>
    <w:rsid w:val="477E6CE9"/>
    <w:rsid w:val="52FA6A69"/>
    <w:rsid w:val="5315A0BB"/>
    <w:rsid w:val="5A91BCAC"/>
    <w:rsid w:val="5DBF1AA8"/>
    <w:rsid w:val="603C13A4"/>
    <w:rsid w:val="62BC023E"/>
    <w:rsid w:val="653776AC"/>
    <w:rsid w:val="6697A430"/>
    <w:rsid w:val="6AB1A680"/>
    <w:rsid w:val="6AC20AF9"/>
    <w:rsid w:val="6C441450"/>
    <w:rsid w:val="6C9A94F5"/>
    <w:rsid w:val="7369A77B"/>
    <w:rsid w:val="7513AE61"/>
    <w:rsid w:val="760AE5C0"/>
    <w:rsid w:val="78991F0C"/>
    <w:rsid w:val="7CB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4CB"/>
  <w15:docId w15:val="{4BBB5D77-A91E-45C7-9CE6-2579681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D4"/>
    <w:pPr>
      <w:spacing w:after="140" w:line="276" w:lineRule="auto"/>
      <w:jc w:val="both"/>
    </w:pPr>
    <w:rPr>
      <w:rFonts w:ascii="Aptos" w:hAnsi="Aptos"/>
      <w:sz w:val="22"/>
      <w:szCs w:val="22"/>
    </w:rPr>
  </w:style>
  <w:style w:type="paragraph" w:styleId="Titre1">
    <w:name w:val="heading 1"/>
    <w:basedOn w:val="Normal"/>
    <w:next w:val="Corpsdetexte"/>
    <w:uiPriority w:val="9"/>
    <w:qFormat/>
    <w:rsid w:val="000C2F3F"/>
    <w:pPr>
      <w:numPr>
        <w:numId w:val="1"/>
      </w:numPr>
      <w:spacing w:before="24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rPr>
      <w:rFonts w:ascii="Roboto" w:hAnsi="Roboto"/>
      <w:sz w:val="24"/>
    </w:rPr>
  </w:style>
  <w:style w:type="character" w:styleId="Lienhypertexte">
    <w:name w:val="Hyperlink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rsid w:val="00EC77D4"/>
    <w:pPr>
      <w:spacing w:before="183" w:after="63"/>
      <w:jc w:val="center"/>
    </w:pPr>
    <w:rPr>
      <w:rFonts w:ascii="Aptos Black" w:hAnsi="Aptos Black"/>
      <w:b/>
      <w:bCs/>
      <w:sz w:val="36"/>
      <w:szCs w:val="36"/>
    </w:rPr>
  </w:style>
  <w:style w:type="paragraph" w:styleId="Corpsdetexte">
    <w:name w:val="Body Text"/>
    <w:basedOn w:val="Normal"/>
    <w:link w:val="CorpsdetexteCar"/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ous-titre">
    <w:name w:val="Subtitle"/>
    <w:basedOn w:val="Titre"/>
    <w:next w:val="Corpsdetexte"/>
    <w:uiPriority w:val="11"/>
    <w:qFormat/>
    <w:rsid w:val="00EC77D4"/>
    <w:pPr>
      <w:spacing w:before="0"/>
    </w:pPr>
    <w:rPr>
      <w:rFonts w:ascii="Aptos Light" w:hAnsi="Aptos Light"/>
      <w:b w:val="0"/>
      <w:bCs w:val="0"/>
      <w:sz w:val="28"/>
      <w:szCs w:val="28"/>
    </w:rPr>
  </w:style>
  <w:style w:type="paragraph" w:customStyle="1" w:styleId="Contenudetableau">
    <w:name w:val="Contenu de tableau"/>
    <w:basedOn w:val="Normal"/>
    <w:pPr>
      <w:widowControl w:val="0"/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0C2F3F"/>
    <w:pPr>
      <w:jc w:val="both"/>
    </w:pPr>
    <w:rPr>
      <w:rFonts w:ascii="Aptos" w:hAnsi="Aptos" w:cs="Mangal"/>
      <w:sz w:val="22"/>
      <w:szCs w:val="20"/>
    </w:rPr>
  </w:style>
  <w:style w:type="paragraph" w:customStyle="1" w:styleId="Dcision">
    <w:name w:val="Décision"/>
    <w:basedOn w:val="Corpsdetexte"/>
    <w:link w:val="DcisionCar"/>
    <w:qFormat/>
    <w:rsid w:val="00677DD7"/>
    <w:pPr>
      <w:numPr>
        <w:numId w:val="2"/>
      </w:numPr>
    </w:pPr>
    <w:rPr>
      <w:color w:val="7B2F87"/>
    </w:rPr>
  </w:style>
  <w:style w:type="character" w:customStyle="1" w:styleId="CorpsdetexteCar">
    <w:name w:val="Corps de texte Car"/>
    <w:basedOn w:val="Policepardfaut"/>
    <w:link w:val="Corpsdetexte"/>
    <w:rsid w:val="00515015"/>
    <w:rPr>
      <w:rFonts w:ascii="Aptos" w:hAnsi="Aptos"/>
      <w:sz w:val="22"/>
      <w:szCs w:val="22"/>
    </w:rPr>
  </w:style>
  <w:style w:type="character" w:customStyle="1" w:styleId="DcisionCar">
    <w:name w:val="Décision Car"/>
    <w:basedOn w:val="CorpsdetexteCar"/>
    <w:link w:val="Dcision"/>
    <w:rsid w:val="00677DD7"/>
    <w:rPr>
      <w:rFonts w:ascii="Aptos" w:hAnsi="Aptos"/>
      <w:color w:val="7B2F87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F82"/>
    <w:rPr>
      <w:rFonts w:ascii="Aptos" w:hAnsi="Aptos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F82"/>
    <w:rPr>
      <w:rFonts w:ascii="Aptos" w:hAnsi="Aptos"/>
      <w:sz w:val="22"/>
      <w:szCs w:val="22"/>
    </w:rPr>
  </w:style>
  <w:style w:type="table" w:styleId="Grilledutableau">
    <w:name w:val="Table Grid"/>
    <w:basedOn w:val="TableauNormal"/>
    <w:uiPriority w:val="59"/>
    <w:rsid w:val="00F52F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2d871-78a4-4fd7-b281-c36e079e9562">
      <Terms xmlns="http://schemas.microsoft.com/office/infopath/2007/PartnerControls"/>
    </lcf76f155ced4ddcb4097134ff3c332f>
    <TaxCatchAll xmlns="456bd260-6990-4e9e-9a3d-561ef9a64d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6FBAD779A3408FB4A49A25975010" ma:contentTypeVersion="13" ma:contentTypeDescription="Crée un document." ma:contentTypeScope="" ma:versionID="b51bc2952ec371e3d4bcea4e7a14d530">
  <xsd:schema xmlns:xsd="http://www.w3.org/2001/XMLSchema" xmlns:xs="http://www.w3.org/2001/XMLSchema" xmlns:p="http://schemas.microsoft.com/office/2006/metadata/properties" xmlns:ns2="6242d871-78a4-4fd7-b281-c36e079e9562" xmlns:ns3="456bd260-6990-4e9e-9a3d-561ef9a64ddc" targetNamespace="http://schemas.microsoft.com/office/2006/metadata/properties" ma:root="true" ma:fieldsID="ff92d64e9a515b8f49f52bcab86dda34" ns2:_="" ns3:_="">
    <xsd:import namespace="6242d871-78a4-4fd7-b281-c36e079e9562"/>
    <xsd:import namespace="456bd260-6990-4e9e-9a3d-561ef9a64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2d871-78a4-4fd7-b281-c36e079e9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ae95e02-de73-418b-93a6-a87fd1758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bd260-6990-4e9e-9a3d-561ef9a64d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378387-99ed-45bb-b3c8-7c06672e3686}" ma:internalName="TaxCatchAll" ma:showField="CatchAllData" ma:web="456bd260-6990-4e9e-9a3d-561ef9a64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27A12-D4BA-439A-9B1F-1CAFC594D8AA}">
  <ds:schemaRefs>
    <ds:schemaRef ds:uri="http://schemas.microsoft.com/office/2006/metadata/properties"/>
    <ds:schemaRef ds:uri="http://schemas.microsoft.com/office/infopath/2007/PartnerControls"/>
    <ds:schemaRef ds:uri="6242d871-78a4-4fd7-b281-c36e079e9562"/>
    <ds:schemaRef ds:uri="456bd260-6990-4e9e-9a3d-561ef9a64ddc"/>
  </ds:schemaRefs>
</ds:datastoreItem>
</file>

<file path=customXml/itemProps2.xml><?xml version="1.0" encoding="utf-8"?>
<ds:datastoreItem xmlns:ds="http://schemas.openxmlformats.org/officeDocument/2006/customXml" ds:itemID="{2DC90206-9F6A-47F0-930D-44D72F4E2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B307A-A434-4038-98DA-8B2BE9549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2d871-78a4-4fd7-b281-c36e079e9562"/>
    <ds:schemaRef ds:uri="456bd260-6990-4e9e-9a3d-561ef9a64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Simon BUFFET | PDLTT</cp:lastModifiedBy>
  <cp:revision>157</cp:revision>
  <dcterms:created xsi:type="dcterms:W3CDTF">2024-10-24T01:43:00Z</dcterms:created>
  <dcterms:modified xsi:type="dcterms:W3CDTF">2026-02-16T09:57:00Z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2021-10-19T14:29:03Z</dcterms:created>
  <dc:creator/>
  <dc:description/>
  <dc:language>fr-FR</dc:language>
  <cp:lastModifiedBy/>
  <dcterms:modified xsi:type="dcterms:W3CDTF">2021-11-03T10:20:14Z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0x01010084DC6FBAD779A3408FB4A49A25975010</vt:lpwstr>
  </property>
  <property fmtid="{D5CDD505-2E9C-101B-9397-08002B2CF9AE}" pid="3" name="MediaServiceImageTags">
    <vt:lpwstr/>
  </property>
</Properties>
</file>